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>ENG 1002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E35B2C" w:rsidRPr="00E35B2C">
        <w:rPr>
          <w:u w:val="dotted"/>
        </w:rPr>
        <w:t>English Sentences and Vocabulary in General Use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B41384">
        <w:rPr>
          <w:u w:val="dotted"/>
        </w:rPr>
        <w:t>2nd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EB74F9">
        <w:rPr>
          <w:u w:val="dotted"/>
        </w:rPr>
        <w:tab/>
        <w:t>201</w:t>
      </w:r>
      <w:r w:rsidR="00B41384">
        <w:rPr>
          <w:u w:val="dotted"/>
        </w:rPr>
        <w:t>8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E35B2C" w:rsidRDefault="00653F13" w:rsidP="00E35B2C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E35B2C" w:rsidRPr="00E35B2C">
        <w:rPr>
          <w:u w:val="dotted"/>
          <w:lang w:val="en-GB"/>
        </w:rPr>
        <w:t>ENG 1002 Sentences and Vocabulary in General Use is designed to help students whose native language is not English to learn about general sentences and vocabulary from the English languag</w:t>
      </w:r>
      <w:r w:rsidR="00E35B2C">
        <w:rPr>
          <w:u w:val="dotted"/>
          <w:lang w:val="en-GB"/>
        </w:rPr>
        <w:t>e in a native academic setting</w:t>
      </w:r>
      <w:r w:rsidR="00A2694E">
        <w:rPr>
          <w:u w:val="dotted"/>
          <w:lang w:val="en-GB"/>
        </w:rPr>
        <w:t xml:space="preserve"> as well as idioms</w:t>
      </w:r>
      <w:r w:rsidR="00E35B2C">
        <w:rPr>
          <w:u w:val="dotted"/>
          <w:lang w:val="en-GB"/>
        </w:rPr>
        <w:t>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Use initiative to identify problems surrounding new vocabulary and sentence structures</w:t>
      </w:r>
    </w:p>
    <w:p w:rsidR="00E35B2C" w:rsidRPr="00F945FF" w:rsidRDefault="006B3953" w:rsidP="00E35B2C">
      <w:pPr>
        <w:numPr>
          <w:ilvl w:val="0"/>
          <w:numId w:val="2"/>
        </w:numPr>
        <w:spacing w:after="0" w:line="240" w:lineRule="auto"/>
      </w:pPr>
      <w:r>
        <w:t xml:space="preserve">Learn and practice the </w:t>
      </w:r>
      <w:r w:rsidR="00E35B2C" w:rsidRPr="00F945FF">
        <w:t>correct pronunciation of target vocabulary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Participate in activities effectively, both in groups and individually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Self-monitor and self-correct problem areas alongside team members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rPr>
          <w:bCs/>
        </w:rPr>
        <w:t>To develop neatness and order in writing.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Build confidence in using the language accurately and effectively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rPr>
          <w:bCs/>
          <w:lang w:eastAsia="en-GB"/>
        </w:rPr>
        <w:t>To develop the ability to put sentences into well-developed paragraphs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 xml:space="preserve">To remember and </w:t>
      </w:r>
      <w:proofErr w:type="spellStart"/>
      <w:r w:rsidRPr="00F945FF">
        <w:t>recognise</w:t>
      </w:r>
      <w:proofErr w:type="spellEnd"/>
      <w:r w:rsidRPr="00F945FF">
        <w:t xml:space="preserve"> new vocabulary and use it appropriately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Complete written exercises from the course book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Follow video exercises in class and fulfil classwork based on them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593823">
        <w:rPr>
          <w:u w:val="dotted"/>
        </w:rPr>
        <w:t>English Vocabulary in Use</w:t>
      </w:r>
      <w:r w:rsidR="00E35B2C">
        <w:rPr>
          <w:u w:val="dotted"/>
        </w:rPr>
        <w:t xml:space="preserve"> Advanced</w:t>
      </w:r>
      <w:r w:rsidR="00057168">
        <w:rPr>
          <w:u w:val="dotted"/>
        </w:rPr>
        <w:t xml:space="preserve"> / Idioms </w:t>
      </w:r>
      <w:proofErr w:type="spellStart"/>
      <w:r w:rsidR="00057168">
        <w:rPr>
          <w:u w:val="dotted"/>
        </w:rPr>
        <w:t>Organiser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E35B2C" w:rsidP="00FA4C57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2-4</w:t>
            </w:r>
            <w:r w:rsidR="00AF29FB">
              <w:t>, documentary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E35B2C" w:rsidP="00FA4C57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4</w:t>
            </w:r>
            <w:r w:rsidR="00AF29FB">
              <w:t>-7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8-9,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10-12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6524DA">
              <w:t>13,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14-16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6524DA">
              <w:t>17,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18-</w:t>
            </w:r>
            <w:r w:rsidR="00A2694E">
              <w:t>20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6524DA">
              <w:t>21,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22-25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E35B2C">
              <w:t>26</w:t>
            </w:r>
            <w:r w:rsidR="006524DA">
              <w:t>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>Attendance 20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6B3953">
        <w:rPr>
          <w:u w:val="dotted"/>
        </w:rPr>
        <w:t>Presentations</w:t>
      </w:r>
      <w:proofErr w:type="gramEnd"/>
      <w:r w:rsidR="006B3953">
        <w:rPr>
          <w:u w:val="dotted"/>
        </w:rPr>
        <w:t xml:space="preserve"> 3</w:t>
      </w:r>
      <w:bookmarkStart w:id="0" w:name="_GoBack"/>
      <w:bookmarkEnd w:id="0"/>
      <w:r w:rsidR="006B3953">
        <w:rPr>
          <w:u w:val="dotted"/>
        </w:rPr>
        <w:t>0%, 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57168"/>
    <w:rsid w:val="00153101"/>
    <w:rsid w:val="00454FD9"/>
    <w:rsid w:val="00593823"/>
    <w:rsid w:val="005D01FF"/>
    <w:rsid w:val="006524DA"/>
    <w:rsid w:val="00653F13"/>
    <w:rsid w:val="006A57E2"/>
    <w:rsid w:val="006B3953"/>
    <w:rsid w:val="007F59BB"/>
    <w:rsid w:val="00A2694E"/>
    <w:rsid w:val="00AF29FB"/>
    <w:rsid w:val="00B41384"/>
    <w:rsid w:val="00DD3D15"/>
    <w:rsid w:val="00E35B2C"/>
    <w:rsid w:val="00EB74F9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6655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CFDA-FE3E-448E-A587-C5D0FD3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7</cp:revision>
  <cp:lastPrinted>2016-09-27T07:07:00Z</cp:lastPrinted>
  <dcterms:created xsi:type="dcterms:W3CDTF">2016-11-08T03:08:00Z</dcterms:created>
  <dcterms:modified xsi:type="dcterms:W3CDTF">2018-10-29T03:56:00Z</dcterms:modified>
</cp:coreProperties>
</file>